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CD" w:rsidRDefault="00E939C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939CD" w:rsidRDefault="00E939CD">
      <w:pPr>
        <w:pStyle w:val="ConsPlusNormal"/>
        <w:outlineLvl w:val="0"/>
      </w:pPr>
    </w:p>
    <w:p w:rsidR="00E939CD" w:rsidRDefault="00E939CD">
      <w:pPr>
        <w:pStyle w:val="ConsPlusNormal"/>
        <w:outlineLvl w:val="0"/>
      </w:pPr>
      <w:r>
        <w:t>Зарегистрировано в Минюсте РТ 28 декабря 2011 г. N 1419</w:t>
      </w:r>
    </w:p>
    <w:p w:rsidR="00E939CD" w:rsidRDefault="00E939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39CD" w:rsidRDefault="00E939CD">
      <w:pPr>
        <w:pStyle w:val="ConsPlusNormal"/>
      </w:pPr>
    </w:p>
    <w:p w:rsidR="00E939CD" w:rsidRDefault="00E939CD">
      <w:pPr>
        <w:pStyle w:val="ConsPlusTitle"/>
        <w:jc w:val="center"/>
      </w:pPr>
      <w:r>
        <w:t>ГОСУДАРСТВЕННЫЙ КОМИТЕТ РЕСПУБЛИКИ ТАТАРСТАН ПО ТАРИФАМ</w:t>
      </w:r>
    </w:p>
    <w:p w:rsidR="00E939CD" w:rsidRDefault="00E939CD">
      <w:pPr>
        <w:pStyle w:val="ConsPlusTitle"/>
        <w:jc w:val="center"/>
      </w:pPr>
    </w:p>
    <w:p w:rsidR="00E939CD" w:rsidRDefault="00E939CD">
      <w:pPr>
        <w:pStyle w:val="ConsPlusTitle"/>
        <w:jc w:val="center"/>
      </w:pPr>
      <w:r>
        <w:t>ПОСТАНОВЛЕНИЕ</w:t>
      </w:r>
    </w:p>
    <w:p w:rsidR="00E939CD" w:rsidRDefault="00E939CD">
      <w:pPr>
        <w:pStyle w:val="ConsPlusTitle"/>
        <w:jc w:val="center"/>
      </w:pPr>
      <w:r>
        <w:t>от 26 декабря 2011 г. N 5-57/э</w:t>
      </w:r>
    </w:p>
    <w:p w:rsidR="00E939CD" w:rsidRDefault="00E939CD">
      <w:pPr>
        <w:pStyle w:val="ConsPlusTitle"/>
        <w:jc w:val="center"/>
      </w:pPr>
    </w:p>
    <w:p w:rsidR="00E939CD" w:rsidRDefault="00E939CD">
      <w:pPr>
        <w:pStyle w:val="ConsPlusTitle"/>
        <w:jc w:val="center"/>
      </w:pPr>
      <w:r>
        <w:t>ОБ УСТАНОВЛЕНИИ ТАРИФОВ НА ТЕПЛОВУЮ ЭНЕРГИЮ, ПОСТАВЛЯЕМУЮ</w:t>
      </w:r>
    </w:p>
    <w:p w:rsidR="00E939CD" w:rsidRDefault="00E939CD">
      <w:pPr>
        <w:pStyle w:val="ConsPlusTitle"/>
        <w:jc w:val="center"/>
      </w:pPr>
      <w:r>
        <w:t>ОАО "ТАТТЕПЛОСБЫТ" ПОТРЕБИТЕЛЯМ</w:t>
      </w:r>
    </w:p>
    <w:p w:rsidR="00E939CD" w:rsidRDefault="00E939CD">
      <w:pPr>
        <w:pStyle w:val="ConsPlusNormal"/>
        <w:jc w:val="center"/>
      </w:pPr>
      <w:r>
        <w:t>Список изменяющих документов</w:t>
      </w:r>
    </w:p>
    <w:p w:rsidR="00E939CD" w:rsidRDefault="00E939CD">
      <w:pPr>
        <w:pStyle w:val="ConsPlusNormal"/>
        <w:jc w:val="center"/>
      </w:pPr>
      <w:r>
        <w:t>(в ред. Постановлений Государственного комитета РТ по тарифам</w:t>
      </w:r>
    </w:p>
    <w:p w:rsidR="00E939CD" w:rsidRDefault="00E939CD">
      <w:pPr>
        <w:pStyle w:val="ConsPlusNormal"/>
        <w:jc w:val="center"/>
      </w:pPr>
      <w:r>
        <w:t xml:space="preserve">от 10.02.2012 </w:t>
      </w:r>
      <w:hyperlink r:id="rId6" w:history="1">
        <w:r>
          <w:rPr>
            <w:color w:val="0000FF"/>
          </w:rPr>
          <w:t>N 5-3/э</w:t>
        </w:r>
      </w:hyperlink>
      <w:r>
        <w:t xml:space="preserve">, от 17.08.2012 </w:t>
      </w:r>
      <w:hyperlink r:id="rId7" w:history="1">
        <w:r>
          <w:rPr>
            <w:color w:val="0000FF"/>
          </w:rPr>
          <w:t>N 5-15/э</w:t>
        </w:r>
      </w:hyperlink>
      <w:r>
        <w:t>)</w:t>
      </w:r>
    </w:p>
    <w:p w:rsidR="00E939CD" w:rsidRDefault="00E939CD">
      <w:pPr>
        <w:pStyle w:val="ConsPlusNormal"/>
        <w:ind w:firstLine="540"/>
        <w:jc w:val="both"/>
      </w:pPr>
    </w:p>
    <w:p w:rsidR="00E939CD" w:rsidRDefault="00E939C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 июля 2010 г. N 190-ФЗ "О теплоснабжении",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21 июля 2007 г. N 185-ФЗ "О фонде содействия реформированию жилищно-коммунального хозяйства",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февраля 2004 г. N 109 "О ценообразовании в отношении электрической и тепловой энергии в Российской Федерации",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 Государственном комитете Республики Татарстан по тарифам, утвержденным Постановлением Кабинета Министров Республики Татарстан от 15 июня 2010 г. N 468, Государственный комитет Республики Татарстан по тарифам ПОСТАНОВЛЯЕТ:</w:t>
      </w:r>
    </w:p>
    <w:p w:rsidR="00E939CD" w:rsidRDefault="00E939CD">
      <w:pPr>
        <w:pStyle w:val="ConsPlusNormal"/>
        <w:ind w:firstLine="540"/>
        <w:jc w:val="both"/>
      </w:pPr>
    </w:p>
    <w:p w:rsidR="00E939CD" w:rsidRDefault="00E939CD">
      <w:pPr>
        <w:pStyle w:val="ConsPlusNormal"/>
        <w:ind w:firstLine="540"/>
        <w:jc w:val="both"/>
      </w:pPr>
      <w:r>
        <w:t>1. Установить и ввести в действие с 1 января 2012 г. тарифы на тепловую энергию, поставляемую ОАО "Таттеплосбыт" потребителям, со следующей календарной разбивкой:</w:t>
      </w:r>
    </w:p>
    <w:p w:rsidR="00E939CD" w:rsidRDefault="00E939CD">
      <w:pPr>
        <w:pStyle w:val="ConsPlusNormal"/>
        <w:spacing w:before="220"/>
        <w:ind w:firstLine="540"/>
        <w:jc w:val="both"/>
      </w:pPr>
      <w:r>
        <w:t xml:space="preserve">- с 1 января 2012 г. по 30 июня 2012 г. согласно </w:t>
      </w:r>
      <w:hyperlink w:anchor="P38" w:history="1">
        <w:r>
          <w:rPr>
            <w:color w:val="0000FF"/>
          </w:rPr>
          <w:t>приложению 1</w:t>
        </w:r>
      </w:hyperlink>
      <w:r>
        <w:t xml:space="preserve"> к настоящему Постановлению;</w:t>
      </w:r>
    </w:p>
    <w:p w:rsidR="00E939CD" w:rsidRDefault="00E939CD">
      <w:pPr>
        <w:pStyle w:val="ConsPlusNormal"/>
        <w:spacing w:before="220"/>
        <w:ind w:firstLine="540"/>
        <w:jc w:val="both"/>
      </w:pPr>
      <w:r>
        <w:t xml:space="preserve">- с 1 июля 2012 г. по 31 августа 2012 г. согласно </w:t>
      </w:r>
      <w:hyperlink w:anchor="P91" w:history="1">
        <w:r>
          <w:rPr>
            <w:color w:val="0000FF"/>
          </w:rPr>
          <w:t>приложению 2</w:t>
        </w:r>
      </w:hyperlink>
      <w:r>
        <w:t xml:space="preserve"> к настоящему Постановлению;</w:t>
      </w:r>
    </w:p>
    <w:p w:rsidR="00E939CD" w:rsidRDefault="00E939CD">
      <w:pPr>
        <w:pStyle w:val="ConsPlusNormal"/>
        <w:spacing w:before="220"/>
        <w:ind w:firstLine="540"/>
        <w:jc w:val="both"/>
      </w:pPr>
      <w:r>
        <w:t xml:space="preserve">- с 1 сентября 2012 г. по 31 декабря 2012 г. согласно </w:t>
      </w:r>
      <w:hyperlink w:anchor="P144" w:history="1">
        <w:r>
          <w:rPr>
            <w:color w:val="0000FF"/>
          </w:rPr>
          <w:t>приложению 3</w:t>
        </w:r>
      </w:hyperlink>
      <w:r>
        <w:t xml:space="preserve"> к настоящему Постановлению.</w:t>
      </w:r>
    </w:p>
    <w:p w:rsidR="00E939CD" w:rsidRDefault="00E939CD">
      <w:pPr>
        <w:pStyle w:val="ConsPlusNormal"/>
        <w:spacing w:before="220"/>
        <w:ind w:firstLine="540"/>
        <w:jc w:val="both"/>
      </w:pPr>
      <w:r>
        <w:t xml:space="preserve">2. Признать утратившими силу с 1 января 2012 г. </w:t>
      </w:r>
      <w:hyperlink r:id="rId12" w:history="1">
        <w:r>
          <w:rPr>
            <w:color w:val="0000FF"/>
          </w:rPr>
          <w:t>пункты 1</w:t>
        </w:r>
      </w:hyperlink>
      <w:r>
        <w:t xml:space="preserve">, </w:t>
      </w:r>
      <w:hyperlink r:id="rId13" w:history="1">
        <w:r>
          <w:rPr>
            <w:color w:val="0000FF"/>
          </w:rPr>
          <w:t>2</w:t>
        </w:r>
      </w:hyperlink>
      <w:r>
        <w:t xml:space="preserve"> Постановления Государственного комитета Республики Татарстан по тарифам от 23 декабря 2010 г. N 5-37/э "Об установлении тарифов на тепловую энергию, поставляемую ОАО "Таттеплосбыт" потребителям" (в редакции Постановления от 17 июня 2011 г. N 5-12/э).</w:t>
      </w:r>
    </w:p>
    <w:p w:rsidR="00E939CD" w:rsidRDefault="00E939C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официального опубликования.</w:t>
      </w:r>
    </w:p>
    <w:p w:rsidR="00E939CD" w:rsidRDefault="00E939CD">
      <w:pPr>
        <w:pStyle w:val="ConsPlusNormal"/>
        <w:ind w:firstLine="540"/>
        <w:jc w:val="both"/>
      </w:pPr>
    </w:p>
    <w:p w:rsidR="00E939CD" w:rsidRDefault="00E939CD">
      <w:pPr>
        <w:pStyle w:val="ConsPlusNormal"/>
        <w:jc w:val="right"/>
      </w:pPr>
      <w:r>
        <w:t>Председатель Государственного комитета</w:t>
      </w:r>
    </w:p>
    <w:p w:rsidR="00E939CD" w:rsidRDefault="00E939CD">
      <w:pPr>
        <w:pStyle w:val="ConsPlusNormal"/>
        <w:jc w:val="right"/>
      </w:pPr>
      <w:r>
        <w:t>Республики Татарстан по тарифам</w:t>
      </w:r>
    </w:p>
    <w:p w:rsidR="00E939CD" w:rsidRDefault="00E939CD">
      <w:pPr>
        <w:pStyle w:val="ConsPlusNormal"/>
        <w:jc w:val="right"/>
      </w:pPr>
      <w:r>
        <w:t>Р.М.ХАЗИЕВ</w:t>
      </w:r>
    </w:p>
    <w:p w:rsidR="00E939CD" w:rsidRDefault="00E939CD">
      <w:pPr>
        <w:pStyle w:val="ConsPlusNormal"/>
        <w:ind w:firstLine="540"/>
        <w:jc w:val="both"/>
      </w:pPr>
    </w:p>
    <w:p w:rsidR="00E939CD" w:rsidRDefault="00E939CD">
      <w:pPr>
        <w:pStyle w:val="ConsPlusNormal"/>
        <w:ind w:firstLine="540"/>
        <w:jc w:val="both"/>
      </w:pPr>
    </w:p>
    <w:p w:rsidR="00E939CD" w:rsidRDefault="00E939CD">
      <w:pPr>
        <w:pStyle w:val="ConsPlusNormal"/>
        <w:ind w:firstLine="540"/>
        <w:jc w:val="both"/>
      </w:pPr>
    </w:p>
    <w:p w:rsidR="00E939CD" w:rsidRDefault="00E939CD">
      <w:pPr>
        <w:pStyle w:val="ConsPlusNormal"/>
        <w:ind w:firstLine="540"/>
        <w:jc w:val="both"/>
      </w:pPr>
    </w:p>
    <w:p w:rsidR="00E939CD" w:rsidRDefault="00E939CD">
      <w:pPr>
        <w:pStyle w:val="ConsPlusNormal"/>
        <w:ind w:firstLine="540"/>
        <w:jc w:val="both"/>
      </w:pPr>
    </w:p>
    <w:p w:rsidR="00E939CD" w:rsidRDefault="00E939CD">
      <w:pPr>
        <w:pStyle w:val="ConsPlusNormal"/>
        <w:jc w:val="right"/>
        <w:outlineLvl w:val="0"/>
      </w:pPr>
      <w:r>
        <w:t>Приложение 1</w:t>
      </w:r>
    </w:p>
    <w:p w:rsidR="00E939CD" w:rsidRDefault="00E939CD">
      <w:pPr>
        <w:pStyle w:val="ConsPlusNormal"/>
        <w:jc w:val="right"/>
      </w:pPr>
      <w:r>
        <w:t>к Постановлению</w:t>
      </w:r>
    </w:p>
    <w:p w:rsidR="00E939CD" w:rsidRDefault="00E939CD">
      <w:pPr>
        <w:pStyle w:val="ConsPlusNormal"/>
        <w:jc w:val="right"/>
      </w:pPr>
      <w:r>
        <w:t>Государственного комитета</w:t>
      </w:r>
    </w:p>
    <w:p w:rsidR="00E939CD" w:rsidRDefault="00E939CD">
      <w:pPr>
        <w:pStyle w:val="ConsPlusNormal"/>
        <w:jc w:val="right"/>
      </w:pPr>
      <w:r>
        <w:t>Республики Татарстан по тарифам</w:t>
      </w:r>
    </w:p>
    <w:p w:rsidR="00E939CD" w:rsidRDefault="00E939CD">
      <w:pPr>
        <w:pStyle w:val="ConsPlusNormal"/>
        <w:jc w:val="right"/>
      </w:pPr>
      <w:r>
        <w:t>от 26 декабря 2011 г. N 5-57/э</w:t>
      </w:r>
    </w:p>
    <w:p w:rsidR="00E939CD" w:rsidRDefault="00E939CD">
      <w:pPr>
        <w:pStyle w:val="ConsPlusNormal"/>
        <w:jc w:val="right"/>
      </w:pPr>
    </w:p>
    <w:p w:rsidR="00E939CD" w:rsidRDefault="00E939CD">
      <w:pPr>
        <w:pStyle w:val="ConsPlusTitle"/>
        <w:jc w:val="center"/>
      </w:pPr>
      <w:bookmarkStart w:id="0" w:name="P38"/>
      <w:bookmarkEnd w:id="0"/>
      <w:r>
        <w:t>ТАРИФЫ</w:t>
      </w:r>
    </w:p>
    <w:p w:rsidR="00E939CD" w:rsidRDefault="00E939CD">
      <w:pPr>
        <w:pStyle w:val="ConsPlusTitle"/>
        <w:jc w:val="center"/>
      </w:pPr>
      <w:r>
        <w:t>НА ТЕПЛОВУЮ ЭНЕРГИЮ, ПОСТАВЛЯЕМУЮ ОАО "ТАТТЕПЛОСБЫТ"</w:t>
      </w:r>
    </w:p>
    <w:p w:rsidR="00E939CD" w:rsidRDefault="00E939CD">
      <w:pPr>
        <w:pStyle w:val="ConsPlusTitle"/>
        <w:jc w:val="center"/>
      </w:pPr>
      <w:r>
        <w:t>ПОТРЕБИТЕЛЯМ, С 1 ЯНВАРЯ 2012 ГОДА ПО 30 ИЮНЯ 2012 ГОДА</w:t>
      </w:r>
    </w:p>
    <w:p w:rsidR="00E939CD" w:rsidRDefault="00E939CD">
      <w:pPr>
        <w:pStyle w:val="ConsPlusNormal"/>
        <w:jc w:val="center"/>
      </w:pPr>
      <w:r>
        <w:t>Список изменяющих документов</w:t>
      </w:r>
    </w:p>
    <w:p w:rsidR="00E939CD" w:rsidRDefault="00E939CD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Государственного комитета РТ по тарифам</w:t>
      </w:r>
    </w:p>
    <w:p w:rsidR="00E939CD" w:rsidRDefault="00E939CD">
      <w:pPr>
        <w:pStyle w:val="ConsPlusNormal"/>
        <w:jc w:val="center"/>
      </w:pPr>
      <w:r>
        <w:t>от 10.02.2012 N 5-3/э)</w:t>
      </w:r>
    </w:p>
    <w:p w:rsidR="00E939CD" w:rsidRDefault="00E939CD">
      <w:pPr>
        <w:pStyle w:val="ConsPlusNormal"/>
        <w:ind w:firstLine="540"/>
        <w:jc w:val="both"/>
      </w:pPr>
    </w:p>
    <w:p w:rsidR="00E939CD" w:rsidRDefault="00E939CD">
      <w:pPr>
        <w:pStyle w:val="ConsPlusNonformat"/>
        <w:jc w:val="both"/>
      </w:pPr>
      <w:r>
        <w:t xml:space="preserve">                                                            (без учета НДС)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400"/>
        <w:gridCol w:w="1080"/>
        <w:gridCol w:w="1080"/>
        <w:gridCol w:w="1080"/>
        <w:gridCol w:w="1080"/>
        <w:gridCol w:w="1080"/>
        <w:gridCol w:w="1440"/>
      </w:tblGrid>
      <w:tr w:rsidR="00E939CD">
        <w:trPr>
          <w:trHeight w:val="240"/>
        </w:trPr>
        <w:tc>
          <w:tcPr>
            <w:tcW w:w="600" w:type="dxa"/>
            <w:vMerge w:val="restart"/>
          </w:tcPr>
          <w:p w:rsidR="00E939CD" w:rsidRDefault="00E939CD">
            <w:pPr>
              <w:pStyle w:val="ConsPlusNonformat"/>
              <w:jc w:val="both"/>
            </w:pPr>
            <w:r>
              <w:t xml:space="preserve"> N </w:t>
            </w:r>
          </w:p>
          <w:p w:rsidR="00E939CD" w:rsidRDefault="00E939CD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2400" w:type="dxa"/>
            <w:vMerge w:val="restart"/>
          </w:tcPr>
          <w:p w:rsidR="00E939CD" w:rsidRDefault="00E939CD">
            <w:pPr>
              <w:pStyle w:val="ConsPlusNonformat"/>
              <w:jc w:val="both"/>
            </w:pPr>
          </w:p>
        </w:tc>
        <w:tc>
          <w:tcPr>
            <w:tcW w:w="6840" w:type="dxa"/>
            <w:gridSpan w:val="6"/>
          </w:tcPr>
          <w:p w:rsidR="00E939CD" w:rsidRDefault="00E939CD">
            <w:pPr>
              <w:pStyle w:val="ConsPlusNonformat"/>
              <w:jc w:val="both"/>
            </w:pPr>
            <w:r>
              <w:t xml:space="preserve">             Тариф на тепловую энергию            </w:t>
            </w:r>
          </w:p>
        </w:tc>
      </w:tr>
      <w:tr w:rsidR="00E939CD">
        <w:tc>
          <w:tcPr>
            <w:tcW w:w="480" w:type="dxa"/>
            <w:vMerge/>
            <w:tcBorders>
              <w:top w:val="nil"/>
            </w:tcBorders>
          </w:tcPr>
          <w:p w:rsidR="00E939CD" w:rsidRDefault="00E939CD"/>
        </w:tc>
        <w:tc>
          <w:tcPr>
            <w:tcW w:w="2280" w:type="dxa"/>
            <w:vMerge/>
            <w:tcBorders>
              <w:top w:val="nil"/>
            </w:tcBorders>
          </w:tcPr>
          <w:p w:rsidR="00E939CD" w:rsidRDefault="00E939CD"/>
        </w:tc>
        <w:tc>
          <w:tcPr>
            <w:tcW w:w="1080" w:type="dxa"/>
            <w:vMerge w:val="restart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>горячая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 вода  </w:t>
            </w:r>
          </w:p>
        </w:tc>
        <w:tc>
          <w:tcPr>
            <w:tcW w:w="4320" w:type="dxa"/>
            <w:gridSpan w:val="4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   отборный пар давлением     </w:t>
            </w: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острый и 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редуциро- 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  ванный  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    пар   </w:t>
            </w:r>
          </w:p>
        </w:tc>
      </w:tr>
      <w:tr w:rsidR="00E939CD">
        <w:tc>
          <w:tcPr>
            <w:tcW w:w="480" w:type="dxa"/>
            <w:vMerge/>
            <w:tcBorders>
              <w:top w:val="nil"/>
            </w:tcBorders>
          </w:tcPr>
          <w:p w:rsidR="00E939CD" w:rsidRDefault="00E939CD"/>
        </w:tc>
        <w:tc>
          <w:tcPr>
            <w:tcW w:w="2280" w:type="dxa"/>
            <w:vMerge/>
            <w:tcBorders>
              <w:top w:val="nil"/>
            </w:tcBorders>
          </w:tcPr>
          <w:p w:rsidR="00E939CD" w:rsidRDefault="00E939CD"/>
        </w:tc>
        <w:tc>
          <w:tcPr>
            <w:tcW w:w="960" w:type="dxa"/>
            <w:vMerge/>
            <w:tcBorders>
              <w:top w:val="nil"/>
            </w:tcBorders>
          </w:tcPr>
          <w:p w:rsidR="00E939CD" w:rsidRDefault="00E939CD"/>
        </w:tc>
        <w:tc>
          <w:tcPr>
            <w:tcW w:w="108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от 1,2 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до 2,5 </w:t>
            </w:r>
          </w:p>
          <w:p w:rsidR="00E939CD" w:rsidRDefault="00E939CD">
            <w:pPr>
              <w:pStyle w:val="ConsPlusNonformat"/>
              <w:jc w:val="both"/>
            </w:pPr>
            <w:r>
              <w:t>кгс/кв.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  см   </w:t>
            </w:r>
          </w:p>
        </w:tc>
        <w:tc>
          <w:tcPr>
            <w:tcW w:w="108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от 2,5 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до 7,0 </w:t>
            </w:r>
          </w:p>
          <w:p w:rsidR="00E939CD" w:rsidRDefault="00E939CD">
            <w:pPr>
              <w:pStyle w:val="ConsPlusNonformat"/>
              <w:jc w:val="both"/>
            </w:pPr>
            <w:r>
              <w:t>кгс/кв.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  см   </w:t>
            </w:r>
          </w:p>
        </w:tc>
        <w:tc>
          <w:tcPr>
            <w:tcW w:w="108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от 7,0 </w:t>
            </w:r>
          </w:p>
          <w:p w:rsidR="00E939CD" w:rsidRDefault="00E939CD">
            <w:pPr>
              <w:pStyle w:val="ConsPlusNonformat"/>
              <w:jc w:val="both"/>
            </w:pPr>
            <w:r>
              <w:t>до 13,0</w:t>
            </w:r>
          </w:p>
          <w:p w:rsidR="00E939CD" w:rsidRDefault="00E939CD">
            <w:pPr>
              <w:pStyle w:val="ConsPlusNonformat"/>
              <w:jc w:val="both"/>
            </w:pPr>
            <w:r>
              <w:t>кгс/кв.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  см   </w:t>
            </w:r>
          </w:p>
        </w:tc>
        <w:tc>
          <w:tcPr>
            <w:tcW w:w="108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свыше 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 13,0  </w:t>
            </w:r>
          </w:p>
          <w:p w:rsidR="00E939CD" w:rsidRDefault="00E939CD">
            <w:pPr>
              <w:pStyle w:val="ConsPlusNonformat"/>
              <w:jc w:val="both"/>
            </w:pPr>
            <w:r>
              <w:t>кгс/кв.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  см   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E939CD" w:rsidRDefault="00E939CD"/>
        </w:tc>
      </w:tr>
      <w:tr w:rsidR="00E939C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9240" w:type="dxa"/>
            <w:gridSpan w:val="7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Потребители, оплачивающие производство тепловой энергии (получающие  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тепловую энергию на коллекторах производителей)                      </w:t>
            </w:r>
          </w:p>
        </w:tc>
      </w:tr>
      <w:tr w:rsidR="00E939CD">
        <w:trPr>
          <w:trHeight w:val="240"/>
        </w:trPr>
        <w:tc>
          <w:tcPr>
            <w:tcW w:w="600" w:type="dxa"/>
            <w:tcBorders>
              <w:top w:val="nil"/>
              <w:bottom w:val="nil"/>
            </w:tcBorders>
          </w:tcPr>
          <w:p w:rsidR="00E939CD" w:rsidRDefault="00E939CD">
            <w:pPr>
              <w:pStyle w:val="ConsPlusNonformat"/>
              <w:jc w:val="both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Одноставочный,    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руб./Гкал        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788,50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  -  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702,55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728,07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742,30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827,52    </w:t>
            </w:r>
          </w:p>
        </w:tc>
      </w:tr>
      <w:tr w:rsidR="00E939CD">
        <w:trPr>
          <w:trHeight w:val="240"/>
        </w:trPr>
        <w:tc>
          <w:tcPr>
            <w:tcW w:w="9840" w:type="dxa"/>
            <w:gridSpan w:val="8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(п. 1  в 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 Государственного  комитета  РТ  по  тарифам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от 10.02.2012 N 5-3/э)                                                   </w:t>
            </w:r>
          </w:p>
        </w:tc>
      </w:tr>
      <w:tr w:rsidR="00E939C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9240" w:type="dxa"/>
            <w:gridSpan w:val="7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Потребители, оплачивающие производство и передачу тепловой энергии   </w:t>
            </w:r>
          </w:p>
        </w:tc>
      </w:tr>
      <w:tr w:rsidR="00E939CD">
        <w:trPr>
          <w:trHeight w:val="240"/>
        </w:trPr>
        <w:tc>
          <w:tcPr>
            <w:tcW w:w="600" w:type="dxa"/>
            <w:tcBorders>
              <w:top w:val="nil"/>
              <w:bottom w:val="nil"/>
            </w:tcBorders>
          </w:tcPr>
          <w:p w:rsidR="00E939CD" w:rsidRDefault="00E939CD">
            <w:pPr>
              <w:pStyle w:val="ConsPlusNonformat"/>
              <w:jc w:val="both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Одноставочный,    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руб./Гкал        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>1085,97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  -  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936,97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961,00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  -  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    -    </w:t>
            </w:r>
          </w:p>
        </w:tc>
      </w:tr>
      <w:tr w:rsidR="00E939CD">
        <w:trPr>
          <w:trHeight w:val="240"/>
        </w:trPr>
        <w:tc>
          <w:tcPr>
            <w:tcW w:w="9840" w:type="dxa"/>
            <w:gridSpan w:val="8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(п. 2  в 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 Государственного  комитета  РТ  по  тарифам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от 10.02.2012 N 5-3/э)                                                   </w:t>
            </w:r>
          </w:p>
        </w:tc>
      </w:tr>
    </w:tbl>
    <w:p w:rsidR="00E939CD" w:rsidRDefault="00E939CD">
      <w:pPr>
        <w:pStyle w:val="ConsPlusNormal"/>
        <w:ind w:firstLine="540"/>
        <w:jc w:val="both"/>
      </w:pPr>
    </w:p>
    <w:p w:rsidR="00E939CD" w:rsidRDefault="00E939CD">
      <w:pPr>
        <w:pStyle w:val="ConsPlusNormal"/>
        <w:ind w:firstLine="540"/>
        <w:jc w:val="both"/>
      </w:pPr>
      <w:r>
        <w:t>Примечание:</w:t>
      </w:r>
    </w:p>
    <w:p w:rsidR="00E939CD" w:rsidRDefault="00E939CD">
      <w:pPr>
        <w:pStyle w:val="ConsPlusNormal"/>
        <w:spacing w:before="220"/>
        <w:ind w:firstLine="540"/>
        <w:jc w:val="both"/>
      </w:pPr>
      <w:r>
        <w:t>Расчет тарифов на тепловую энергию основывается на полном возврате теплоносителя в тепловую сеть и (или) на источник тепла.</w:t>
      </w:r>
    </w:p>
    <w:p w:rsidR="00E939CD" w:rsidRDefault="00E939CD">
      <w:pPr>
        <w:pStyle w:val="ConsPlusNormal"/>
        <w:jc w:val="both"/>
      </w:pPr>
      <w:r>
        <w:t xml:space="preserve">(примечание введено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Государственного комитета РТ по тарифам от 10.02.2012 N 5-3/э)</w:t>
      </w:r>
    </w:p>
    <w:p w:rsidR="00E939CD" w:rsidRDefault="00E939CD">
      <w:pPr>
        <w:pStyle w:val="ConsPlusNormal"/>
        <w:ind w:firstLine="540"/>
        <w:jc w:val="both"/>
      </w:pPr>
    </w:p>
    <w:p w:rsidR="00E939CD" w:rsidRDefault="00E939CD">
      <w:pPr>
        <w:pStyle w:val="ConsPlusNormal"/>
        <w:jc w:val="right"/>
      </w:pPr>
      <w:r>
        <w:t>Отдел организации, контроля</w:t>
      </w:r>
    </w:p>
    <w:p w:rsidR="00E939CD" w:rsidRDefault="00E939CD">
      <w:pPr>
        <w:pStyle w:val="ConsPlusNormal"/>
        <w:jc w:val="right"/>
      </w:pPr>
      <w:r>
        <w:t>и сопровождения принятия тарифных</w:t>
      </w:r>
    </w:p>
    <w:p w:rsidR="00E939CD" w:rsidRDefault="00E939CD">
      <w:pPr>
        <w:pStyle w:val="ConsPlusNormal"/>
        <w:jc w:val="right"/>
      </w:pPr>
      <w:r>
        <w:t>решений Государственного комитета</w:t>
      </w:r>
    </w:p>
    <w:p w:rsidR="00E939CD" w:rsidRDefault="00E939CD">
      <w:pPr>
        <w:pStyle w:val="ConsPlusNormal"/>
        <w:jc w:val="right"/>
      </w:pPr>
      <w:r>
        <w:t>Республики Татарстан по тарифам</w:t>
      </w:r>
    </w:p>
    <w:p w:rsidR="00E939CD" w:rsidRDefault="00E939CD">
      <w:pPr>
        <w:pStyle w:val="ConsPlusNormal"/>
        <w:ind w:firstLine="540"/>
        <w:jc w:val="both"/>
      </w:pPr>
    </w:p>
    <w:p w:rsidR="00E939CD" w:rsidRDefault="00E939CD">
      <w:pPr>
        <w:pStyle w:val="ConsPlusNormal"/>
        <w:ind w:firstLine="540"/>
        <w:jc w:val="both"/>
      </w:pPr>
    </w:p>
    <w:p w:rsidR="00E939CD" w:rsidRDefault="00E939CD">
      <w:pPr>
        <w:pStyle w:val="ConsPlusNormal"/>
        <w:ind w:firstLine="540"/>
        <w:jc w:val="both"/>
      </w:pPr>
    </w:p>
    <w:p w:rsidR="00E939CD" w:rsidRDefault="00E939CD">
      <w:pPr>
        <w:pStyle w:val="ConsPlusNormal"/>
        <w:ind w:firstLine="540"/>
        <w:jc w:val="both"/>
      </w:pPr>
    </w:p>
    <w:p w:rsidR="00E939CD" w:rsidRDefault="00E939CD">
      <w:pPr>
        <w:pStyle w:val="ConsPlusNormal"/>
        <w:ind w:firstLine="540"/>
        <w:jc w:val="both"/>
      </w:pPr>
    </w:p>
    <w:p w:rsidR="00E939CD" w:rsidRDefault="00E939CD">
      <w:pPr>
        <w:pStyle w:val="ConsPlusNormal"/>
        <w:jc w:val="right"/>
        <w:outlineLvl w:val="0"/>
      </w:pPr>
      <w:r>
        <w:t>Приложение 2</w:t>
      </w:r>
    </w:p>
    <w:p w:rsidR="00E939CD" w:rsidRDefault="00E939CD">
      <w:pPr>
        <w:pStyle w:val="ConsPlusNormal"/>
        <w:jc w:val="right"/>
      </w:pPr>
      <w:r>
        <w:t>к Постановлению</w:t>
      </w:r>
    </w:p>
    <w:p w:rsidR="00E939CD" w:rsidRDefault="00E939CD">
      <w:pPr>
        <w:pStyle w:val="ConsPlusNormal"/>
        <w:jc w:val="right"/>
      </w:pPr>
      <w:r>
        <w:t>Государственного комитета</w:t>
      </w:r>
    </w:p>
    <w:p w:rsidR="00E939CD" w:rsidRDefault="00E939CD">
      <w:pPr>
        <w:pStyle w:val="ConsPlusNormal"/>
        <w:jc w:val="right"/>
      </w:pPr>
      <w:r>
        <w:t>Республики Татарстан по тарифам</w:t>
      </w:r>
    </w:p>
    <w:p w:rsidR="00E939CD" w:rsidRDefault="00E939CD">
      <w:pPr>
        <w:pStyle w:val="ConsPlusNormal"/>
        <w:jc w:val="right"/>
      </w:pPr>
      <w:r>
        <w:t>от 26 декабря 2011 г. N 5-57/э</w:t>
      </w:r>
    </w:p>
    <w:p w:rsidR="00E939CD" w:rsidRDefault="00E939CD">
      <w:pPr>
        <w:pStyle w:val="ConsPlusNormal"/>
        <w:ind w:firstLine="540"/>
        <w:jc w:val="both"/>
      </w:pPr>
    </w:p>
    <w:p w:rsidR="00E939CD" w:rsidRDefault="00E939CD">
      <w:pPr>
        <w:pStyle w:val="ConsPlusTitle"/>
        <w:jc w:val="center"/>
      </w:pPr>
      <w:bookmarkStart w:id="1" w:name="P91"/>
      <w:bookmarkEnd w:id="1"/>
      <w:r>
        <w:t>ТАРИФЫ</w:t>
      </w:r>
    </w:p>
    <w:p w:rsidR="00E939CD" w:rsidRDefault="00E939CD">
      <w:pPr>
        <w:pStyle w:val="ConsPlusTitle"/>
        <w:jc w:val="center"/>
      </w:pPr>
      <w:r>
        <w:t>НА ТЕПЛОВУЮ ЭНЕРГИЮ, ПОСТАВЛЯЕМУЮ ОАО "ТАТТЕПЛОСБЫТ"</w:t>
      </w:r>
    </w:p>
    <w:p w:rsidR="00E939CD" w:rsidRDefault="00E939CD">
      <w:pPr>
        <w:pStyle w:val="ConsPlusTitle"/>
        <w:jc w:val="center"/>
      </w:pPr>
      <w:r>
        <w:lastRenderedPageBreak/>
        <w:t>ПОТРЕБИТЕЛЯМ, С 1 ИЮЛЯ 2012 ГОДА ПО 31 АВГУСТА 2012 ГОДА</w:t>
      </w:r>
    </w:p>
    <w:p w:rsidR="00E939CD" w:rsidRDefault="00E939CD">
      <w:pPr>
        <w:pStyle w:val="ConsPlusNormal"/>
        <w:jc w:val="center"/>
      </w:pPr>
      <w:r>
        <w:t>Список изменяющих документов</w:t>
      </w:r>
    </w:p>
    <w:p w:rsidR="00E939CD" w:rsidRDefault="00E939CD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Государственного комитета РТ по тарифам</w:t>
      </w:r>
    </w:p>
    <w:p w:rsidR="00E939CD" w:rsidRDefault="00E939CD">
      <w:pPr>
        <w:pStyle w:val="ConsPlusNormal"/>
        <w:jc w:val="center"/>
      </w:pPr>
      <w:r>
        <w:t>от 10.02.2012 N 5-3/э)</w:t>
      </w:r>
    </w:p>
    <w:p w:rsidR="00E939CD" w:rsidRDefault="00E939CD">
      <w:pPr>
        <w:pStyle w:val="ConsPlusNormal"/>
        <w:ind w:firstLine="540"/>
        <w:jc w:val="both"/>
      </w:pPr>
    </w:p>
    <w:p w:rsidR="00E939CD" w:rsidRDefault="00E939CD">
      <w:pPr>
        <w:pStyle w:val="ConsPlusNonformat"/>
        <w:jc w:val="both"/>
      </w:pPr>
      <w:r>
        <w:t xml:space="preserve">                                                            (без учета НДС)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400"/>
        <w:gridCol w:w="1080"/>
        <w:gridCol w:w="1080"/>
        <w:gridCol w:w="1080"/>
        <w:gridCol w:w="1080"/>
        <w:gridCol w:w="1080"/>
        <w:gridCol w:w="1440"/>
      </w:tblGrid>
      <w:tr w:rsidR="00E939CD">
        <w:trPr>
          <w:trHeight w:val="240"/>
        </w:trPr>
        <w:tc>
          <w:tcPr>
            <w:tcW w:w="600" w:type="dxa"/>
            <w:vMerge w:val="restart"/>
          </w:tcPr>
          <w:p w:rsidR="00E939CD" w:rsidRDefault="00E939CD">
            <w:pPr>
              <w:pStyle w:val="ConsPlusNonformat"/>
              <w:jc w:val="both"/>
            </w:pPr>
            <w:r>
              <w:t xml:space="preserve"> N </w:t>
            </w:r>
          </w:p>
          <w:p w:rsidR="00E939CD" w:rsidRDefault="00E939CD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2400" w:type="dxa"/>
            <w:vMerge w:val="restart"/>
          </w:tcPr>
          <w:p w:rsidR="00E939CD" w:rsidRDefault="00E939CD">
            <w:pPr>
              <w:pStyle w:val="ConsPlusNonformat"/>
              <w:jc w:val="both"/>
            </w:pPr>
          </w:p>
        </w:tc>
        <w:tc>
          <w:tcPr>
            <w:tcW w:w="6840" w:type="dxa"/>
            <w:gridSpan w:val="6"/>
          </w:tcPr>
          <w:p w:rsidR="00E939CD" w:rsidRDefault="00E939CD">
            <w:pPr>
              <w:pStyle w:val="ConsPlusNonformat"/>
              <w:jc w:val="both"/>
            </w:pPr>
            <w:r>
              <w:t xml:space="preserve">            Тариф на тепловую энергию             </w:t>
            </w:r>
          </w:p>
        </w:tc>
      </w:tr>
      <w:tr w:rsidR="00E939CD">
        <w:tc>
          <w:tcPr>
            <w:tcW w:w="480" w:type="dxa"/>
            <w:vMerge/>
            <w:tcBorders>
              <w:top w:val="nil"/>
            </w:tcBorders>
          </w:tcPr>
          <w:p w:rsidR="00E939CD" w:rsidRDefault="00E939CD"/>
        </w:tc>
        <w:tc>
          <w:tcPr>
            <w:tcW w:w="2280" w:type="dxa"/>
            <w:vMerge/>
            <w:tcBorders>
              <w:top w:val="nil"/>
            </w:tcBorders>
          </w:tcPr>
          <w:p w:rsidR="00E939CD" w:rsidRDefault="00E939CD"/>
        </w:tc>
        <w:tc>
          <w:tcPr>
            <w:tcW w:w="1080" w:type="dxa"/>
            <w:vMerge w:val="restart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>горячая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 вода  </w:t>
            </w:r>
          </w:p>
        </w:tc>
        <w:tc>
          <w:tcPr>
            <w:tcW w:w="4320" w:type="dxa"/>
            <w:gridSpan w:val="4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   отборный пар давлением     </w:t>
            </w: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острый и 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редуциро- 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  ванный  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    пар   </w:t>
            </w:r>
          </w:p>
        </w:tc>
      </w:tr>
      <w:tr w:rsidR="00E939CD">
        <w:tc>
          <w:tcPr>
            <w:tcW w:w="480" w:type="dxa"/>
            <w:vMerge/>
            <w:tcBorders>
              <w:top w:val="nil"/>
            </w:tcBorders>
          </w:tcPr>
          <w:p w:rsidR="00E939CD" w:rsidRDefault="00E939CD"/>
        </w:tc>
        <w:tc>
          <w:tcPr>
            <w:tcW w:w="2280" w:type="dxa"/>
            <w:vMerge/>
            <w:tcBorders>
              <w:top w:val="nil"/>
            </w:tcBorders>
          </w:tcPr>
          <w:p w:rsidR="00E939CD" w:rsidRDefault="00E939CD"/>
        </w:tc>
        <w:tc>
          <w:tcPr>
            <w:tcW w:w="960" w:type="dxa"/>
            <w:vMerge/>
            <w:tcBorders>
              <w:top w:val="nil"/>
            </w:tcBorders>
          </w:tcPr>
          <w:p w:rsidR="00E939CD" w:rsidRDefault="00E939CD"/>
        </w:tc>
        <w:tc>
          <w:tcPr>
            <w:tcW w:w="108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от 1,2 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до 2,5 </w:t>
            </w:r>
          </w:p>
          <w:p w:rsidR="00E939CD" w:rsidRDefault="00E939CD">
            <w:pPr>
              <w:pStyle w:val="ConsPlusNonformat"/>
              <w:jc w:val="both"/>
            </w:pPr>
            <w:r>
              <w:t>кгс/кв.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  см   </w:t>
            </w:r>
          </w:p>
        </w:tc>
        <w:tc>
          <w:tcPr>
            <w:tcW w:w="108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от 2,5 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до 7,0 </w:t>
            </w:r>
          </w:p>
          <w:p w:rsidR="00E939CD" w:rsidRDefault="00E939CD">
            <w:pPr>
              <w:pStyle w:val="ConsPlusNonformat"/>
              <w:jc w:val="both"/>
            </w:pPr>
            <w:r>
              <w:t>кгс/кв.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  см   </w:t>
            </w:r>
          </w:p>
        </w:tc>
        <w:tc>
          <w:tcPr>
            <w:tcW w:w="108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от 7,0 </w:t>
            </w:r>
          </w:p>
          <w:p w:rsidR="00E939CD" w:rsidRDefault="00E939CD">
            <w:pPr>
              <w:pStyle w:val="ConsPlusNonformat"/>
              <w:jc w:val="both"/>
            </w:pPr>
            <w:r>
              <w:t>до 13,0</w:t>
            </w:r>
          </w:p>
          <w:p w:rsidR="00E939CD" w:rsidRDefault="00E939CD">
            <w:pPr>
              <w:pStyle w:val="ConsPlusNonformat"/>
              <w:jc w:val="both"/>
            </w:pPr>
            <w:r>
              <w:t>кгс/кв.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  см   </w:t>
            </w:r>
          </w:p>
        </w:tc>
        <w:tc>
          <w:tcPr>
            <w:tcW w:w="108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свыше 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 13,0  </w:t>
            </w:r>
          </w:p>
          <w:p w:rsidR="00E939CD" w:rsidRDefault="00E939CD">
            <w:pPr>
              <w:pStyle w:val="ConsPlusNonformat"/>
              <w:jc w:val="both"/>
            </w:pPr>
            <w:r>
              <w:t>кгс/кв.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  см   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E939CD" w:rsidRDefault="00E939CD"/>
        </w:tc>
      </w:tr>
      <w:tr w:rsidR="00E939C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9240" w:type="dxa"/>
            <w:gridSpan w:val="7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Потребители, оплачивающие производство тепловой энергии (получающие  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тепловую энергию на коллекторах производителей)                      </w:t>
            </w:r>
          </w:p>
        </w:tc>
      </w:tr>
      <w:tr w:rsidR="00E939CD">
        <w:trPr>
          <w:trHeight w:val="240"/>
        </w:trPr>
        <w:tc>
          <w:tcPr>
            <w:tcW w:w="600" w:type="dxa"/>
            <w:tcBorders>
              <w:top w:val="nil"/>
              <w:bottom w:val="nil"/>
            </w:tcBorders>
          </w:tcPr>
          <w:p w:rsidR="00E939CD" w:rsidRDefault="00E939CD">
            <w:pPr>
              <w:pStyle w:val="ConsPlusNonformat"/>
              <w:jc w:val="both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Одноставочный,    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руб./Гкал        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817,52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  -  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728,41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754,86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769,23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 858,00  </w:t>
            </w:r>
          </w:p>
        </w:tc>
      </w:tr>
      <w:tr w:rsidR="00E939CD">
        <w:trPr>
          <w:trHeight w:val="240"/>
        </w:trPr>
        <w:tc>
          <w:tcPr>
            <w:tcW w:w="9840" w:type="dxa"/>
            <w:gridSpan w:val="8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(п. 1  в 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 Государственного  комитета  РТ  по  тарифам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от 10.02.2012 N 5-3/э)                                                   </w:t>
            </w:r>
          </w:p>
        </w:tc>
      </w:tr>
      <w:tr w:rsidR="00E939C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9240" w:type="dxa"/>
            <w:gridSpan w:val="7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Потребители, оплачивающие производство и передачу тепловой энергии   </w:t>
            </w:r>
          </w:p>
        </w:tc>
      </w:tr>
      <w:tr w:rsidR="00E939CD">
        <w:trPr>
          <w:trHeight w:val="240"/>
        </w:trPr>
        <w:tc>
          <w:tcPr>
            <w:tcW w:w="600" w:type="dxa"/>
            <w:tcBorders>
              <w:top w:val="nil"/>
              <w:bottom w:val="nil"/>
            </w:tcBorders>
          </w:tcPr>
          <w:p w:rsidR="00E939CD" w:rsidRDefault="00E939CD">
            <w:pPr>
              <w:pStyle w:val="ConsPlusNonformat"/>
              <w:jc w:val="both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Одноставочный,    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руб./Гкал        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>1151,13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  -  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993,19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>1018,66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  -  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    -    </w:t>
            </w:r>
          </w:p>
        </w:tc>
      </w:tr>
      <w:tr w:rsidR="00E939CD">
        <w:trPr>
          <w:trHeight w:val="240"/>
        </w:trPr>
        <w:tc>
          <w:tcPr>
            <w:tcW w:w="9840" w:type="dxa"/>
            <w:gridSpan w:val="8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(п. 2  в 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 Государственного  комитета  РТ  по  тарифам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от 10.02.2012 N 5-3/э)                                                   </w:t>
            </w:r>
          </w:p>
        </w:tc>
      </w:tr>
    </w:tbl>
    <w:p w:rsidR="00E939CD" w:rsidRDefault="00E939CD">
      <w:pPr>
        <w:pStyle w:val="ConsPlusNormal"/>
        <w:ind w:firstLine="540"/>
        <w:jc w:val="both"/>
      </w:pPr>
    </w:p>
    <w:p w:rsidR="00E939CD" w:rsidRDefault="00E939CD">
      <w:pPr>
        <w:pStyle w:val="ConsPlusNormal"/>
        <w:ind w:firstLine="540"/>
        <w:jc w:val="both"/>
      </w:pPr>
      <w:r>
        <w:t>Примечание:</w:t>
      </w:r>
    </w:p>
    <w:p w:rsidR="00E939CD" w:rsidRDefault="00E939CD">
      <w:pPr>
        <w:pStyle w:val="ConsPlusNormal"/>
        <w:spacing w:before="220"/>
        <w:ind w:firstLine="540"/>
        <w:jc w:val="both"/>
      </w:pPr>
      <w:r>
        <w:t>Расчет тарифов на тепловую энергию основывается на полном возврате теплоносителя в тепловую сеть и (или) на источник тепла.</w:t>
      </w:r>
    </w:p>
    <w:p w:rsidR="00E939CD" w:rsidRDefault="00E939CD">
      <w:pPr>
        <w:pStyle w:val="ConsPlusNormal"/>
        <w:jc w:val="both"/>
      </w:pPr>
      <w:r>
        <w:t xml:space="preserve">(примечание введено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Государственного комитета РТ по тарифам от 10.02.2012 N 5-3/э)</w:t>
      </w:r>
    </w:p>
    <w:p w:rsidR="00E939CD" w:rsidRDefault="00E939CD">
      <w:pPr>
        <w:pStyle w:val="ConsPlusNormal"/>
        <w:ind w:firstLine="540"/>
        <w:jc w:val="both"/>
      </w:pPr>
    </w:p>
    <w:p w:rsidR="00E939CD" w:rsidRDefault="00E939CD">
      <w:pPr>
        <w:pStyle w:val="ConsPlusNormal"/>
        <w:jc w:val="right"/>
      </w:pPr>
      <w:r>
        <w:t>Отдел организации, контроля</w:t>
      </w:r>
    </w:p>
    <w:p w:rsidR="00E939CD" w:rsidRDefault="00E939CD">
      <w:pPr>
        <w:pStyle w:val="ConsPlusNormal"/>
        <w:jc w:val="right"/>
      </w:pPr>
      <w:r>
        <w:t>и сопровождения принятия тарифных</w:t>
      </w:r>
    </w:p>
    <w:p w:rsidR="00E939CD" w:rsidRDefault="00E939CD">
      <w:pPr>
        <w:pStyle w:val="ConsPlusNormal"/>
        <w:jc w:val="right"/>
      </w:pPr>
      <w:r>
        <w:t>решений Государственного комитета</w:t>
      </w:r>
    </w:p>
    <w:p w:rsidR="00E939CD" w:rsidRDefault="00E939CD">
      <w:pPr>
        <w:pStyle w:val="ConsPlusNormal"/>
        <w:jc w:val="right"/>
      </w:pPr>
      <w:r>
        <w:t>Республики Татарстан по тарифам</w:t>
      </w:r>
    </w:p>
    <w:p w:rsidR="00E939CD" w:rsidRDefault="00E939CD">
      <w:pPr>
        <w:pStyle w:val="ConsPlusNormal"/>
        <w:ind w:firstLine="540"/>
        <w:jc w:val="both"/>
      </w:pPr>
    </w:p>
    <w:p w:rsidR="00E939CD" w:rsidRDefault="00E939CD">
      <w:pPr>
        <w:pStyle w:val="ConsPlusNormal"/>
        <w:ind w:firstLine="540"/>
        <w:jc w:val="both"/>
      </w:pPr>
    </w:p>
    <w:p w:rsidR="00E939CD" w:rsidRDefault="00E939CD">
      <w:pPr>
        <w:pStyle w:val="ConsPlusNormal"/>
        <w:ind w:firstLine="540"/>
        <w:jc w:val="both"/>
      </w:pPr>
    </w:p>
    <w:p w:rsidR="00E939CD" w:rsidRDefault="00E939CD">
      <w:pPr>
        <w:pStyle w:val="ConsPlusNormal"/>
        <w:ind w:firstLine="540"/>
        <w:jc w:val="both"/>
      </w:pPr>
    </w:p>
    <w:p w:rsidR="00E939CD" w:rsidRDefault="00E939CD">
      <w:pPr>
        <w:pStyle w:val="ConsPlusNormal"/>
        <w:ind w:firstLine="540"/>
        <w:jc w:val="both"/>
      </w:pPr>
    </w:p>
    <w:p w:rsidR="00E939CD" w:rsidRDefault="00E939CD">
      <w:pPr>
        <w:pStyle w:val="ConsPlusNormal"/>
        <w:jc w:val="right"/>
        <w:outlineLvl w:val="0"/>
      </w:pPr>
      <w:r>
        <w:t>Приложение 3</w:t>
      </w:r>
    </w:p>
    <w:p w:rsidR="00E939CD" w:rsidRDefault="00E939CD">
      <w:pPr>
        <w:pStyle w:val="ConsPlusNormal"/>
        <w:jc w:val="right"/>
      </w:pPr>
      <w:r>
        <w:t>к Постановлению</w:t>
      </w:r>
    </w:p>
    <w:p w:rsidR="00E939CD" w:rsidRDefault="00E939CD">
      <w:pPr>
        <w:pStyle w:val="ConsPlusNormal"/>
        <w:jc w:val="right"/>
      </w:pPr>
      <w:r>
        <w:t>Государственного комитета</w:t>
      </w:r>
    </w:p>
    <w:p w:rsidR="00E939CD" w:rsidRDefault="00E939CD">
      <w:pPr>
        <w:pStyle w:val="ConsPlusNormal"/>
        <w:jc w:val="right"/>
      </w:pPr>
      <w:r>
        <w:t>Республики Татарстан по тарифам</w:t>
      </w:r>
    </w:p>
    <w:p w:rsidR="00E939CD" w:rsidRDefault="00E939CD">
      <w:pPr>
        <w:pStyle w:val="ConsPlusNormal"/>
        <w:jc w:val="right"/>
      </w:pPr>
      <w:r>
        <w:t>от 26 декабря 2011 г. N 5-57/э</w:t>
      </w:r>
    </w:p>
    <w:p w:rsidR="00E939CD" w:rsidRDefault="00E939CD">
      <w:pPr>
        <w:pStyle w:val="ConsPlusNormal"/>
        <w:ind w:firstLine="540"/>
        <w:jc w:val="both"/>
      </w:pPr>
    </w:p>
    <w:p w:rsidR="00E939CD" w:rsidRDefault="00E939CD">
      <w:pPr>
        <w:pStyle w:val="ConsPlusTitle"/>
        <w:jc w:val="center"/>
      </w:pPr>
      <w:bookmarkStart w:id="2" w:name="P144"/>
      <w:bookmarkEnd w:id="2"/>
      <w:r>
        <w:t>ТАРИФЫ</w:t>
      </w:r>
    </w:p>
    <w:p w:rsidR="00E939CD" w:rsidRDefault="00E939CD">
      <w:pPr>
        <w:pStyle w:val="ConsPlusTitle"/>
        <w:jc w:val="center"/>
      </w:pPr>
      <w:r>
        <w:t>НА ТЕПЛОВУЮ ЭНЕРГИЮ, ПОСТАВЛЯЕМУЮ ОАО "ТАТТЕПЛОСБЫТ"</w:t>
      </w:r>
    </w:p>
    <w:p w:rsidR="00E939CD" w:rsidRDefault="00E939CD">
      <w:pPr>
        <w:pStyle w:val="ConsPlusTitle"/>
        <w:jc w:val="center"/>
      </w:pPr>
      <w:r>
        <w:t>ПОТРЕБИТЕЛЯМ, С 1 СЕНТЯБРЯ 2012 ГОДА</w:t>
      </w:r>
    </w:p>
    <w:p w:rsidR="00E939CD" w:rsidRDefault="00E939CD">
      <w:pPr>
        <w:pStyle w:val="ConsPlusTitle"/>
        <w:jc w:val="center"/>
      </w:pPr>
      <w:r>
        <w:t>ПО 31 ДЕКАБРЯ 2012 ГОДА</w:t>
      </w:r>
    </w:p>
    <w:p w:rsidR="00E939CD" w:rsidRDefault="00E939CD">
      <w:pPr>
        <w:pStyle w:val="ConsPlusNormal"/>
        <w:jc w:val="center"/>
      </w:pPr>
      <w:r>
        <w:t>Список изменяющих документов</w:t>
      </w:r>
    </w:p>
    <w:p w:rsidR="00E939CD" w:rsidRDefault="00E939CD">
      <w:pPr>
        <w:pStyle w:val="ConsPlusNormal"/>
        <w:jc w:val="center"/>
      </w:pPr>
      <w:r>
        <w:lastRenderedPageBreak/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Государственного комитета РТ по тарифам</w:t>
      </w:r>
    </w:p>
    <w:p w:rsidR="00E939CD" w:rsidRDefault="00E939CD">
      <w:pPr>
        <w:pStyle w:val="ConsPlusNormal"/>
        <w:jc w:val="center"/>
      </w:pPr>
      <w:r>
        <w:t>от 17.08.2012 N 5-15/э)</w:t>
      </w:r>
    </w:p>
    <w:p w:rsidR="00E939CD" w:rsidRDefault="00E939CD">
      <w:pPr>
        <w:pStyle w:val="ConsPlusNormal"/>
        <w:ind w:firstLine="540"/>
        <w:jc w:val="both"/>
      </w:pPr>
    </w:p>
    <w:p w:rsidR="00E939CD" w:rsidRDefault="00E939CD">
      <w:pPr>
        <w:pStyle w:val="ConsPlusNonformat"/>
        <w:jc w:val="both"/>
      </w:pPr>
      <w:r>
        <w:t xml:space="preserve">                                                            (без учета НДС)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080"/>
        <w:gridCol w:w="1080"/>
        <w:gridCol w:w="1080"/>
        <w:gridCol w:w="1080"/>
        <w:gridCol w:w="1080"/>
        <w:gridCol w:w="1920"/>
      </w:tblGrid>
      <w:tr w:rsidR="00E939CD">
        <w:trPr>
          <w:trHeight w:val="240"/>
        </w:trPr>
        <w:tc>
          <w:tcPr>
            <w:tcW w:w="600" w:type="dxa"/>
            <w:vMerge w:val="restart"/>
          </w:tcPr>
          <w:p w:rsidR="00E939CD" w:rsidRDefault="00E939CD">
            <w:pPr>
              <w:pStyle w:val="ConsPlusNonformat"/>
              <w:jc w:val="both"/>
            </w:pPr>
            <w:r>
              <w:t xml:space="preserve"> N </w:t>
            </w:r>
          </w:p>
          <w:p w:rsidR="00E939CD" w:rsidRDefault="00E939CD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1920" w:type="dxa"/>
            <w:vMerge w:val="restart"/>
          </w:tcPr>
          <w:p w:rsidR="00E939CD" w:rsidRDefault="00E939CD">
            <w:pPr>
              <w:pStyle w:val="ConsPlusNonformat"/>
              <w:jc w:val="both"/>
            </w:pPr>
          </w:p>
        </w:tc>
        <w:tc>
          <w:tcPr>
            <w:tcW w:w="7320" w:type="dxa"/>
            <w:gridSpan w:val="6"/>
          </w:tcPr>
          <w:p w:rsidR="00E939CD" w:rsidRDefault="00E939CD">
            <w:pPr>
              <w:pStyle w:val="ConsPlusNonformat"/>
              <w:jc w:val="both"/>
            </w:pPr>
            <w:r>
              <w:t xml:space="preserve">               Тариф на тепловую энергию              </w:t>
            </w:r>
          </w:p>
        </w:tc>
      </w:tr>
      <w:tr w:rsidR="00E939CD">
        <w:tc>
          <w:tcPr>
            <w:tcW w:w="480" w:type="dxa"/>
            <w:vMerge/>
            <w:tcBorders>
              <w:top w:val="nil"/>
            </w:tcBorders>
          </w:tcPr>
          <w:p w:rsidR="00E939CD" w:rsidRDefault="00E939CD"/>
        </w:tc>
        <w:tc>
          <w:tcPr>
            <w:tcW w:w="1800" w:type="dxa"/>
            <w:vMerge/>
            <w:tcBorders>
              <w:top w:val="nil"/>
            </w:tcBorders>
          </w:tcPr>
          <w:p w:rsidR="00E939CD" w:rsidRDefault="00E939CD"/>
        </w:tc>
        <w:tc>
          <w:tcPr>
            <w:tcW w:w="1080" w:type="dxa"/>
            <w:vMerge w:val="restart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>горячая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  вода </w:t>
            </w:r>
          </w:p>
        </w:tc>
        <w:tc>
          <w:tcPr>
            <w:tcW w:w="4320" w:type="dxa"/>
            <w:gridSpan w:val="4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    отборный пар давлением    </w:t>
            </w:r>
          </w:p>
        </w:tc>
        <w:tc>
          <w:tcPr>
            <w:tcW w:w="1920" w:type="dxa"/>
            <w:vMerge w:val="restart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  острый и   </w:t>
            </w:r>
          </w:p>
          <w:p w:rsidR="00E939CD" w:rsidRDefault="00E939CD">
            <w:pPr>
              <w:pStyle w:val="ConsPlusNonformat"/>
              <w:jc w:val="both"/>
            </w:pPr>
            <w:r>
              <w:t>редуцированный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      пар     </w:t>
            </w:r>
          </w:p>
        </w:tc>
      </w:tr>
      <w:tr w:rsidR="00E939CD">
        <w:tc>
          <w:tcPr>
            <w:tcW w:w="480" w:type="dxa"/>
            <w:vMerge/>
            <w:tcBorders>
              <w:top w:val="nil"/>
            </w:tcBorders>
          </w:tcPr>
          <w:p w:rsidR="00E939CD" w:rsidRDefault="00E939CD"/>
        </w:tc>
        <w:tc>
          <w:tcPr>
            <w:tcW w:w="1800" w:type="dxa"/>
            <w:vMerge/>
            <w:tcBorders>
              <w:top w:val="nil"/>
            </w:tcBorders>
          </w:tcPr>
          <w:p w:rsidR="00E939CD" w:rsidRDefault="00E939CD"/>
        </w:tc>
        <w:tc>
          <w:tcPr>
            <w:tcW w:w="960" w:type="dxa"/>
            <w:vMerge/>
            <w:tcBorders>
              <w:top w:val="nil"/>
            </w:tcBorders>
          </w:tcPr>
          <w:p w:rsidR="00E939CD" w:rsidRDefault="00E939CD"/>
        </w:tc>
        <w:tc>
          <w:tcPr>
            <w:tcW w:w="108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от 1,2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 до 2,5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 кг/кв.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   см  </w:t>
            </w:r>
          </w:p>
        </w:tc>
        <w:tc>
          <w:tcPr>
            <w:tcW w:w="108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от 2,5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 до 7,0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 кг/кв.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   см  </w:t>
            </w:r>
          </w:p>
        </w:tc>
        <w:tc>
          <w:tcPr>
            <w:tcW w:w="108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от 7,0</w:t>
            </w:r>
          </w:p>
          <w:p w:rsidR="00E939CD" w:rsidRDefault="00E939CD">
            <w:pPr>
              <w:pStyle w:val="ConsPlusNonformat"/>
              <w:jc w:val="both"/>
            </w:pPr>
            <w:r>
              <w:t>до 13,0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 кг/кв.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   см  </w:t>
            </w:r>
          </w:p>
        </w:tc>
        <w:tc>
          <w:tcPr>
            <w:tcW w:w="108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свыше 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  13,0 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 кг/кв.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   см  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E939CD" w:rsidRDefault="00E939CD"/>
        </w:tc>
      </w:tr>
      <w:tr w:rsidR="00E939C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  <w:outlineLvl w:val="1"/>
            </w:pPr>
            <w:r>
              <w:t xml:space="preserve">1. </w:t>
            </w:r>
          </w:p>
        </w:tc>
        <w:tc>
          <w:tcPr>
            <w:tcW w:w="9240" w:type="dxa"/>
            <w:gridSpan w:val="7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  <w:outlineLvl w:val="1"/>
            </w:pPr>
            <w:r>
              <w:t xml:space="preserve">Потребители, оплачивающие производство тепловой энергии (получающие  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тепловую энергию на коллекторах производителей)                      </w:t>
            </w:r>
          </w:p>
        </w:tc>
      </w:tr>
      <w:tr w:rsidR="00E939C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>Одноставочный,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руб./Гкал     </w:t>
            </w:r>
          </w:p>
        </w:tc>
        <w:tc>
          <w:tcPr>
            <w:tcW w:w="108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557,62</w:t>
            </w:r>
          </w:p>
        </w:tc>
        <w:tc>
          <w:tcPr>
            <w:tcW w:w="108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  -   </w:t>
            </w:r>
          </w:p>
        </w:tc>
        <w:tc>
          <w:tcPr>
            <w:tcW w:w="108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766,95</w:t>
            </w:r>
          </w:p>
        </w:tc>
        <w:tc>
          <w:tcPr>
            <w:tcW w:w="108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740,27</w:t>
            </w:r>
          </w:p>
        </w:tc>
        <w:tc>
          <w:tcPr>
            <w:tcW w:w="108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811,35</w:t>
            </w:r>
          </w:p>
        </w:tc>
        <w:tc>
          <w:tcPr>
            <w:tcW w:w="192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   877,99    </w:t>
            </w:r>
          </w:p>
        </w:tc>
      </w:tr>
      <w:tr w:rsidR="00E939C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</w:p>
        </w:tc>
        <w:tc>
          <w:tcPr>
            <w:tcW w:w="9240" w:type="dxa"/>
            <w:gridSpan w:val="7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Население (тарифы указываются с учетом НДС) </w:t>
            </w:r>
            <w:hyperlink w:anchor="P18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39C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>Одноставочный,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руб./Гкал     </w:t>
            </w:r>
          </w:p>
        </w:tc>
        <w:tc>
          <w:tcPr>
            <w:tcW w:w="108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657,99</w:t>
            </w:r>
          </w:p>
        </w:tc>
        <w:tc>
          <w:tcPr>
            <w:tcW w:w="108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  -   </w:t>
            </w:r>
          </w:p>
        </w:tc>
        <w:tc>
          <w:tcPr>
            <w:tcW w:w="108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  -   </w:t>
            </w:r>
          </w:p>
        </w:tc>
        <w:tc>
          <w:tcPr>
            <w:tcW w:w="108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  -   </w:t>
            </w:r>
          </w:p>
        </w:tc>
        <w:tc>
          <w:tcPr>
            <w:tcW w:w="108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  -   </w:t>
            </w:r>
          </w:p>
        </w:tc>
        <w:tc>
          <w:tcPr>
            <w:tcW w:w="192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      -      </w:t>
            </w:r>
          </w:p>
        </w:tc>
      </w:tr>
      <w:tr w:rsidR="00E939C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  <w:outlineLvl w:val="1"/>
            </w:pPr>
            <w:r>
              <w:t xml:space="preserve">2. </w:t>
            </w:r>
          </w:p>
        </w:tc>
        <w:tc>
          <w:tcPr>
            <w:tcW w:w="9240" w:type="dxa"/>
            <w:gridSpan w:val="7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  <w:outlineLvl w:val="1"/>
            </w:pPr>
            <w:r>
              <w:t xml:space="preserve">Потребители, оплачивающие производство и передачу тепловой энергии   </w:t>
            </w:r>
          </w:p>
        </w:tc>
      </w:tr>
      <w:tr w:rsidR="00E939C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>Одноставочный,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руб./Гкал     </w:t>
            </w:r>
          </w:p>
        </w:tc>
        <w:tc>
          <w:tcPr>
            <w:tcW w:w="108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>1077,12</w:t>
            </w:r>
          </w:p>
        </w:tc>
        <w:tc>
          <w:tcPr>
            <w:tcW w:w="108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  -   </w:t>
            </w:r>
          </w:p>
        </w:tc>
        <w:tc>
          <w:tcPr>
            <w:tcW w:w="108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913,27</w:t>
            </w:r>
          </w:p>
        </w:tc>
        <w:tc>
          <w:tcPr>
            <w:tcW w:w="108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886,60</w:t>
            </w:r>
          </w:p>
        </w:tc>
        <w:tc>
          <w:tcPr>
            <w:tcW w:w="108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  -   </w:t>
            </w:r>
          </w:p>
        </w:tc>
        <w:tc>
          <w:tcPr>
            <w:tcW w:w="192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      -      </w:t>
            </w:r>
          </w:p>
        </w:tc>
      </w:tr>
      <w:tr w:rsidR="00E939C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</w:p>
        </w:tc>
        <w:tc>
          <w:tcPr>
            <w:tcW w:w="9240" w:type="dxa"/>
            <w:gridSpan w:val="7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Население (тарифы указываются с учетом НДС) </w:t>
            </w:r>
            <w:hyperlink w:anchor="P18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39CD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>Одноставочный,</w:t>
            </w:r>
          </w:p>
          <w:p w:rsidR="00E939CD" w:rsidRDefault="00E939CD">
            <w:pPr>
              <w:pStyle w:val="ConsPlusNonformat"/>
              <w:jc w:val="both"/>
            </w:pPr>
            <w:r>
              <w:t xml:space="preserve">руб./Гкал     </w:t>
            </w:r>
          </w:p>
        </w:tc>
        <w:tc>
          <w:tcPr>
            <w:tcW w:w="108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>1271,00</w:t>
            </w:r>
          </w:p>
        </w:tc>
        <w:tc>
          <w:tcPr>
            <w:tcW w:w="108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  -   </w:t>
            </w:r>
          </w:p>
        </w:tc>
        <w:tc>
          <w:tcPr>
            <w:tcW w:w="108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  -   </w:t>
            </w:r>
          </w:p>
        </w:tc>
        <w:tc>
          <w:tcPr>
            <w:tcW w:w="108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  -   </w:t>
            </w:r>
          </w:p>
        </w:tc>
        <w:tc>
          <w:tcPr>
            <w:tcW w:w="108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  -   </w:t>
            </w:r>
          </w:p>
        </w:tc>
        <w:tc>
          <w:tcPr>
            <w:tcW w:w="1920" w:type="dxa"/>
            <w:tcBorders>
              <w:top w:val="nil"/>
            </w:tcBorders>
          </w:tcPr>
          <w:p w:rsidR="00E939CD" w:rsidRDefault="00E939CD">
            <w:pPr>
              <w:pStyle w:val="ConsPlusNonformat"/>
              <w:jc w:val="both"/>
            </w:pPr>
            <w:r>
              <w:t xml:space="preserve">       -      </w:t>
            </w:r>
          </w:p>
        </w:tc>
      </w:tr>
    </w:tbl>
    <w:p w:rsidR="00E939CD" w:rsidRDefault="00E939CD">
      <w:pPr>
        <w:pStyle w:val="ConsPlusNormal"/>
        <w:ind w:firstLine="540"/>
        <w:jc w:val="both"/>
      </w:pPr>
    </w:p>
    <w:p w:rsidR="00E939CD" w:rsidRDefault="00E939CD">
      <w:pPr>
        <w:pStyle w:val="ConsPlusNormal"/>
        <w:ind w:firstLine="540"/>
        <w:jc w:val="both"/>
      </w:pPr>
      <w:r>
        <w:t>--------------------------------</w:t>
      </w:r>
    </w:p>
    <w:p w:rsidR="00E939CD" w:rsidRDefault="00E939CD">
      <w:pPr>
        <w:pStyle w:val="ConsPlusNormal"/>
        <w:spacing w:before="220"/>
        <w:ind w:firstLine="540"/>
        <w:jc w:val="both"/>
      </w:pPr>
      <w:bookmarkStart w:id="3" w:name="P186"/>
      <w:bookmarkEnd w:id="3"/>
      <w:r>
        <w:t xml:space="preserve">&lt;*&gt; Выделяется в целях реализации </w:t>
      </w:r>
      <w:hyperlink r:id="rId23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E939CD" w:rsidRDefault="00E939CD">
      <w:pPr>
        <w:pStyle w:val="ConsPlusNormal"/>
        <w:ind w:firstLine="540"/>
        <w:jc w:val="both"/>
      </w:pPr>
    </w:p>
    <w:p w:rsidR="00E939CD" w:rsidRDefault="00E939CD">
      <w:pPr>
        <w:pStyle w:val="ConsPlusNormal"/>
        <w:ind w:firstLine="540"/>
        <w:jc w:val="both"/>
      </w:pPr>
      <w:r>
        <w:t>Примечание:</w:t>
      </w:r>
    </w:p>
    <w:p w:rsidR="00E939CD" w:rsidRDefault="00E939CD">
      <w:pPr>
        <w:pStyle w:val="ConsPlusNormal"/>
        <w:spacing w:before="220"/>
        <w:ind w:firstLine="540"/>
        <w:jc w:val="both"/>
      </w:pPr>
      <w:r>
        <w:t>1. Тепловая энергия, поставляемая ОАО "Таттеплосбыт" потребителям, производится электрическими станциями в режиме комбинированной выработки электрической и тепловой энергии.</w:t>
      </w:r>
    </w:p>
    <w:p w:rsidR="00E939CD" w:rsidRDefault="00E939CD">
      <w:pPr>
        <w:pStyle w:val="ConsPlusNormal"/>
        <w:spacing w:before="220"/>
        <w:ind w:firstLine="540"/>
        <w:jc w:val="both"/>
      </w:pPr>
      <w:r>
        <w:t>2. Расчет тарифов на тепловую энергию основывается на полном возврате теплоносителя в тепловую сеть и (или) на источник тепла.</w:t>
      </w:r>
    </w:p>
    <w:p w:rsidR="00E939CD" w:rsidRDefault="00E939CD">
      <w:pPr>
        <w:pStyle w:val="ConsPlusNormal"/>
        <w:ind w:firstLine="540"/>
        <w:jc w:val="both"/>
      </w:pPr>
    </w:p>
    <w:p w:rsidR="00E939CD" w:rsidRDefault="00E939CD">
      <w:pPr>
        <w:pStyle w:val="ConsPlusNormal"/>
        <w:jc w:val="right"/>
      </w:pPr>
      <w:r>
        <w:t>Отдел организации, контроля</w:t>
      </w:r>
    </w:p>
    <w:p w:rsidR="00E939CD" w:rsidRDefault="00E939CD">
      <w:pPr>
        <w:pStyle w:val="ConsPlusNormal"/>
        <w:jc w:val="right"/>
      </w:pPr>
      <w:r>
        <w:t>и сопровождения принятия тарифных</w:t>
      </w:r>
    </w:p>
    <w:p w:rsidR="00E939CD" w:rsidRDefault="00E939CD">
      <w:pPr>
        <w:pStyle w:val="ConsPlusNormal"/>
        <w:jc w:val="right"/>
      </w:pPr>
      <w:r>
        <w:t>решений Государственного комитета</w:t>
      </w:r>
    </w:p>
    <w:p w:rsidR="00E939CD" w:rsidRDefault="00E939CD">
      <w:pPr>
        <w:pStyle w:val="ConsPlusNormal"/>
        <w:jc w:val="right"/>
      </w:pPr>
      <w:r>
        <w:t>Республики Татарстан по тарифам</w:t>
      </w:r>
    </w:p>
    <w:p w:rsidR="00E939CD" w:rsidRDefault="00E939CD">
      <w:pPr>
        <w:pStyle w:val="ConsPlusNormal"/>
        <w:ind w:firstLine="540"/>
        <w:jc w:val="both"/>
      </w:pPr>
    </w:p>
    <w:p w:rsidR="00E939CD" w:rsidRDefault="00E939CD">
      <w:pPr>
        <w:pStyle w:val="ConsPlusNormal"/>
        <w:ind w:firstLine="540"/>
        <w:jc w:val="both"/>
      </w:pPr>
    </w:p>
    <w:p w:rsidR="00E939CD" w:rsidRDefault="00E939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6F55" w:rsidRDefault="00C26F55">
      <w:bookmarkStart w:id="4" w:name="_GoBack"/>
      <w:bookmarkEnd w:id="4"/>
    </w:p>
    <w:sectPr w:rsidR="00C26F55" w:rsidSect="0063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CD"/>
    <w:rsid w:val="00C26F55"/>
    <w:rsid w:val="00E9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3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3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3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3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3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3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7851245A950D20D76A4953B4FBE8ED88CB1F99C01ACBF37C85F4904A582578E17A12DCE029CF26E1c4K" TargetMode="External"/><Relationship Id="rId13" Type="http://schemas.openxmlformats.org/officeDocument/2006/relationships/hyperlink" Target="consultantplus://offline/ref=177851245A950D20D76A575EA297B5E689C24092C11EC1A224DAAFCD1D512F2FA6354B9EA424CE2F1C4DDEE8c5K" TargetMode="External"/><Relationship Id="rId18" Type="http://schemas.openxmlformats.org/officeDocument/2006/relationships/hyperlink" Target="consultantplus://offline/ref=177851245A950D20D76A575EA297B5E689C24092C11DC3A027DAAFCD1D512F2FA6354B9EA424CE2F1C4DDFE8c0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77851245A950D20D76A575EA297B5E689C24092C11DC3A027DAAFCD1D512F2FA6354B9EA424CE2F1C4DDCE8c0K" TargetMode="External"/><Relationship Id="rId7" Type="http://schemas.openxmlformats.org/officeDocument/2006/relationships/hyperlink" Target="consultantplus://offline/ref=177851245A950D20D76A575EA297B5E689C24092C01AC9AC23DAAFCD1D512F2FA6354B9EA424CE2F1C4DDEE8c4K" TargetMode="External"/><Relationship Id="rId12" Type="http://schemas.openxmlformats.org/officeDocument/2006/relationships/hyperlink" Target="consultantplus://offline/ref=177851245A950D20D76A575EA297B5E689C24092C11EC1A224DAAFCD1D512F2FA6354B9EA424CE2F1C4DDEE8c4K" TargetMode="External"/><Relationship Id="rId17" Type="http://schemas.openxmlformats.org/officeDocument/2006/relationships/hyperlink" Target="consultantplus://offline/ref=177851245A950D20D76A575EA297B5E689C24092C11DC3A027DAAFCD1D512F2FA6354B9EA424CE2F1C4DDCE8c0K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77851245A950D20D76A575EA297B5E689C24092C11DC3A027DAAFCD1D512F2FA6354B9EA424CE2F1C4DDFE8c2K" TargetMode="External"/><Relationship Id="rId20" Type="http://schemas.openxmlformats.org/officeDocument/2006/relationships/hyperlink" Target="consultantplus://offline/ref=177851245A950D20D76A575EA297B5E689C24092C11DC3A027DAAFCD1D512F2FA6354B9EA424CE2F1C4DDFE8c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7851245A950D20D76A575EA297B5E689C24092C11DC3A027DAAFCD1D512F2FA6354B9EA424CE2F1C4DDEE8c4K" TargetMode="External"/><Relationship Id="rId11" Type="http://schemas.openxmlformats.org/officeDocument/2006/relationships/hyperlink" Target="consultantplus://offline/ref=177851245A950D20D76A575EA297B5E689C24092C018C4A724DAAFCD1D512F2FA6354B9EA424CE2F1C4DDFE8c6K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77851245A950D20D76A575EA297B5E689C24092C11DC3A027DAAFCD1D512F2FA6354B9EA424CE2F1C4DDEE8c5K" TargetMode="External"/><Relationship Id="rId23" Type="http://schemas.openxmlformats.org/officeDocument/2006/relationships/hyperlink" Target="consultantplus://offline/ref=177851245A950D20D76A4953B4FBE8ED88C8169DC713CBF37C85F4904A582578E17A12DCE029CB29E1cBK" TargetMode="External"/><Relationship Id="rId10" Type="http://schemas.openxmlformats.org/officeDocument/2006/relationships/hyperlink" Target="consultantplus://offline/ref=177851245A950D20D76A4953B4FBE8ED8BCD179EC612CBF37C85F4904A582578E17A12DFEEc6K" TargetMode="External"/><Relationship Id="rId19" Type="http://schemas.openxmlformats.org/officeDocument/2006/relationships/hyperlink" Target="consultantplus://offline/ref=177851245A950D20D76A575EA297B5E689C24092C11DC3A027DAAFCD1D512F2FA6354B9EA424CE2F1C4DDFE8c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7851245A950D20D76A4953B4FBE8ED88CB1F9BC41DCBF37C85F4904AE5c8K" TargetMode="External"/><Relationship Id="rId14" Type="http://schemas.openxmlformats.org/officeDocument/2006/relationships/hyperlink" Target="consultantplus://offline/ref=177851245A950D20D76A575EA297B5E689C24092C11DC3A027DAAFCD1D512F2FA6354B9EA424CE2F1C4DDEE8c5K" TargetMode="External"/><Relationship Id="rId22" Type="http://schemas.openxmlformats.org/officeDocument/2006/relationships/hyperlink" Target="consultantplus://offline/ref=177851245A950D20D76A575EA297B5E689C24092C01AC9AC23DAAFCD1D512F2FA6354B9EA424CE2F1C4DDEE8c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1503</Words>
  <Characters>8573</Characters>
  <Application>Microsoft Office Word</Application>
  <DocSecurity>0</DocSecurity>
  <Lines>71</Lines>
  <Paragraphs>20</Paragraphs>
  <ScaleCrop>false</ScaleCrop>
  <Company/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Светлана Фаизовна</dc:creator>
  <cp:lastModifiedBy>Каленская Светлана Фаизовна</cp:lastModifiedBy>
  <cp:revision>1</cp:revision>
  <dcterms:created xsi:type="dcterms:W3CDTF">2017-10-26T10:28:00Z</dcterms:created>
  <dcterms:modified xsi:type="dcterms:W3CDTF">2017-10-26T10:28:00Z</dcterms:modified>
</cp:coreProperties>
</file>